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5343" w14:textId="425AB2FB" w:rsidR="009E682E" w:rsidRPr="009E682E" w:rsidRDefault="009E682E" w:rsidP="009E682E">
      <w:pPr>
        <w:pStyle w:val="p1"/>
        <w:jc w:val="center"/>
        <w:rPr>
          <w:b/>
          <w:bCs/>
          <w:sz w:val="32"/>
          <w:szCs w:val="32"/>
        </w:rPr>
      </w:pPr>
      <w:r w:rsidRPr="009E682E">
        <w:rPr>
          <w:b/>
          <w:bCs/>
          <w:sz w:val="32"/>
          <w:szCs w:val="32"/>
        </w:rPr>
        <w:t>Description des facteurs humains contribuant au lien</w:t>
      </w:r>
    </w:p>
    <w:p w14:paraId="59DFD4D1" w14:textId="77777777" w:rsidR="009E682E" w:rsidRDefault="009E682E" w:rsidP="009E682E">
      <w:pPr>
        <w:pStyle w:val="p1"/>
      </w:pPr>
    </w:p>
    <w:p w14:paraId="07126A46" w14:textId="77777777" w:rsidR="009E682E" w:rsidRDefault="009E682E" w:rsidP="009E682E">
      <w:pPr>
        <w:pStyle w:val="p1"/>
      </w:pPr>
    </w:p>
    <w:p w14:paraId="4FC96111" w14:textId="0D2B59E4" w:rsidR="009E682E" w:rsidRPr="009E682E" w:rsidRDefault="009E682E" w:rsidP="009E682E">
      <w:pPr>
        <w:pStyle w:val="p1"/>
        <w:jc w:val="both"/>
        <w:rPr>
          <w:strike/>
          <w:sz w:val="24"/>
          <w:szCs w:val="24"/>
        </w:rPr>
      </w:pPr>
      <w:r w:rsidRPr="009E682E">
        <w:rPr>
          <w:strike/>
          <w:sz w:val="24"/>
          <w:szCs w:val="24"/>
        </w:rPr>
        <w:t>La vigne est introduite en « Haut-Poitou » à l’époque gallo-romaine. En 276, l’empereur PROBUS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>accorde la liberté de planter dans tout l’Empire. La vigne, cultivée en treilles et cantonnée aux abords des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>villes, peut ainsi s’étendre dans la campagne au nord de Poitiers. Pendant plusieurs siècles le vignoble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>s’étend puis régresse au gré des guerres et des invasions barbares qui se succèdent. A l’époque féodale,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 xml:space="preserve">l’introduction de la pratique du « </w:t>
      </w:r>
      <w:r w:rsidRPr="009E682E">
        <w:rPr>
          <w:i/>
          <w:iCs/>
          <w:strike/>
          <w:sz w:val="24"/>
          <w:szCs w:val="24"/>
        </w:rPr>
        <w:t>contrat de complant</w:t>
      </w:r>
      <w:r w:rsidRPr="009E682E">
        <w:rPr>
          <w:strike/>
          <w:sz w:val="24"/>
          <w:szCs w:val="24"/>
        </w:rPr>
        <w:t xml:space="preserve"> » permet aux nouveaux vignerons de cultiver une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 xml:space="preserve">terre auparavant inculte et d’y planter de la vigne. Un « </w:t>
      </w:r>
      <w:r w:rsidRPr="009E682E">
        <w:rPr>
          <w:i/>
          <w:iCs/>
          <w:strike/>
          <w:sz w:val="24"/>
          <w:szCs w:val="24"/>
        </w:rPr>
        <w:t>défricheur</w:t>
      </w:r>
      <w:r w:rsidRPr="009E682E">
        <w:rPr>
          <w:strike/>
          <w:sz w:val="24"/>
          <w:szCs w:val="24"/>
        </w:rPr>
        <w:t xml:space="preserve"> » exploite la terre et, en échange de son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>travail, le propriétaire lui cède une partie de la récolte, entre le quart et la moitié. La transmission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 xml:space="preserve">héréditaire du « </w:t>
      </w:r>
      <w:r w:rsidRPr="009E682E">
        <w:rPr>
          <w:i/>
          <w:iCs/>
          <w:strike/>
          <w:sz w:val="24"/>
          <w:szCs w:val="24"/>
        </w:rPr>
        <w:t>contrat de complant</w:t>
      </w:r>
      <w:r w:rsidRPr="009E682E">
        <w:rPr>
          <w:strike/>
          <w:sz w:val="24"/>
          <w:szCs w:val="24"/>
        </w:rPr>
        <w:t xml:space="preserve"> » garantit, au propriétaire, une production de vin de qualité sur le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>long terme.</w:t>
      </w:r>
    </w:p>
    <w:p w14:paraId="354E053A" w14:textId="77777777" w:rsidR="009E682E" w:rsidRDefault="009E682E" w:rsidP="009E682E">
      <w:pPr>
        <w:pStyle w:val="p1"/>
        <w:jc w:val="both"/>
      </w:pPr>
    </w:p>
    <w:p w14:paraId="3D989333" w14:textId="445DF94A" w:rsidR="009E682E" w:rsidRPr="009E682E" w:rsidRDefault="009E682E" w:rsidP="009E682E">
      <w:pPr>
        <w:pStyle w:val="p1"/>
        <w:jc w:val="both"/>
        <w:rPr>
          <w:b/>
          <w:bCs/>
          <w:sz w:val="24"/>
          <w:szCs w:val="24"/>
        </w:rPr>
      </w:pPr>
      <w:r w:rsidRPr="009E682E">
        <w:rPr>
          <w:b/>
          <w:bCs/>
          <w:sz w:val="24"/>
          <w:szCs w:val="24"/>
        </w:rPr>
        <w:t>Le vignoble du Haut-Poitou s’étend sur une petite partie de l’ancien comté de Poitou, au nord-ouest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de Poitiers, et empiète sur le Mirebalais qui dépendait du comté d’Anjou. On ne dispose d’aucune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information sur la culture de la vigne pour la</w:t>
      </w:r>
      <w:r w:rsidRPr="009E682E">
        <w:rPr>
          <w:b/>
          <w:bCs/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période antique, mais il est fortement probable qu'elle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a connu le même développement que les autres vignobles du Val de Loire pour lesquels on en trouve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des traces dès le Ier siècle. C’est à partir de 876 que l’on a la preuve de vignes cultivées à Neuville.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Avant l’an mille, la vigne est omniprésente dans les archives des abbayes. La culture en est confiée à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des paysans sous la forme de baux à complants, système qui reste en usage jusqu’à la Révolution.</w:t>
      </w:r>
    </w:p>
    <w:p w14:paraId="564359F0" w14:textId="77777777" w:rsidR="009E682E" w:rsidRDefault="009E682E" w:rsidP="009E682E">
      <w:pPr>
        <w:pStyle w:val="p1"/>
        <w:jc w:val="both"/>
      </w:pPr>
    </w:p>
    <w:p w14:paraId="5267845F" w14:textId="23922C0B" w:rsidR="009E682E" w:rsidRPr="009E682E" w:rsidRDefault="009E682E" w:rsidP="009E682E">
      <w:pPr>
        <w:pStyle w:val="p1"/>
        <w:jc w:val="both"/>
        <w:rPr>
          <w:strike/>
          <w:sz w:val="24"/>
          <w:szCs w:val="24"/>
        </w:rPr>
      </w:pPr>
      <w:r w:rsidRPr="009E682E">
        <w:rPr>
          <w:strike/>
          <w:sz w:val="24"/>
          <w:szCs w:val="24"/>
        </w:rPr>
        <w:t>La production vinicole poitevine se met réellement en place à partir du XII</w:t>
      </w:r>
      <w:r w:rsidRPr="009E682E">
        <w:rPr>
          <w:rStyle w:val="s1"/>
          <w:rFonts w:eastAsiaTheme="majorEastAsia"/>
          <w:strike/>
          <w:sz w:val="24"/>
          <w:szCs w:val="24"/>
        </w:rPr>
        <w:t xml:space="preserve">ème </w:t>
      </w:r>
      <w:r w:rsidRPr="009E682E">
        <w:rPr>
          <w:strike/>
          <w:sz w:val="24"/>
          <w:szCs w:val="24"/>
        </w:rPr>
        <w:t>siècle, sous l’impulsion de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>GUILLAUME X, Duc de Guyenne et Comte de Poitiers, qui créé le grand vignoble de Poitiers. Le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>marché anglais devient le premier débouché du vignoble, suite au mariage d’ALIENOR d’Aquitaine, avec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>HENRI II Plantagenêt, roi d’Angleterre, en 1152.</w:t>
      </w:r>
    </w:p>
    <w:p w14:paraId="41ED7987" w14:textId="77777777" w:rsidR="009E682E" w:rsidRDefault="009E682E" w:rsidP="009E682E">
      <w:pPr>
        <w:pStyle w:val="p1"/>
        <w:jc w:val="both"/>
      </w:pPr>
    </w:p>
    <w:p w14:paraId="2468074E" w14:textId="19B12D1A" w:rsidR="009E682E" w:rsidRPr="009E682E" w:rsidRDefault="009E682E" w:rsidP="009E682E">
      <w:pPr>
        <w:pStyle w:val="p1"/>
        <w:jc w:val="both"/>
        <w:rPr>
          <w:b/>
          <w:bCs/>
          <w:sz w:val="24"/>
          <w:szCs w:val="24"/>
        </w:rPr>
      </w:pPr>
      <w:r w:rsidRPr="009E682E">
        <w:rPr>
          <w:b/>
          <w:bCs/>
          <w:sz w:val="24"/>
          <w:szCs w:val="24"/>
        </w:rPr>
        <w:t>Le vin est d'abord produit pour la vente locale et consommé par les élites. Poitiers est alors la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capitale du duché d'Aquitaine et le siège d'une activité économique considérable. Contrairement à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une opinion très répandue, le commerce des vins avec l’Angleterre est bien antérieur à l’avènement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d’Aliénor, comtesse de Poitou et duchesse d’Aquitaine, au trône d’Angleterre en 1154. Et dès le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XIII</w:t>
      </w:r>
      <w:r w:rsidRPr="009E682E">
        <w:rPr>
          <w:rStyle w:val="s1"/>
          <w:rFonts w:eastAsiaTheme="majorEastAsia"/>
          <w:b/>
          <w:bCs/>
          <w:sz w:val="24"/>
          <w:szCs w:val="24"/>
        </w:rPr>
        <w:t>e</w:t>
      </w:r>
      <w:r w:rsidRPr="009E682E">
        <w:rPr>
          <w:b/>
          <w:bCs/>
          <w:sz w:val="24"/>
          <w:szCs w:val="24"/>
        </w:rPr>
        <w:t xml:space="preserve"> siècle, les vins du Poitou sont exportés bien plus largement vers les Pays-Bas. Au début du XV</w:t>
      </w:r>
      <w:r w:rsidRPr="009E682E">
        <w:rPr>
          <w:rStyle w:val="s1"/>
          <w:rFonts w:eastAsiaTheme="majorEastAsia"/>
          <w:b/>
          <w:bCs/>
          <w:sz w:val="24"/>
          <w:szCs w:val="24"/>
        </w:rPr>
        <w:t>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siècle, le vin de pineau (rouge) est souvent cité comme le meilleur des vins de la région. On trouve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aussi d’autres cépages comme le chenin, l’</w:t>
      </w:r>
      <w:proofErr w:type="spellStart"/>
      <w:r w:rsidRPr="009E682E">
        <w:rPr>
          <w:b/>
          <w:bCs/>
          <w:sz w:val="24"/>
          <w:szCs w:val="24"/>
        </w:rPr>
        <w:t>érage</w:t>
      </w:r>
      <w:proofErr w:type="spellEnd"/>
      <w:r w:rsidRPr="009E682E">
        <w:rPr>
          <w:b/>
          <w:bCs/>
          <w:sz w:val="24"/>
          <w:szCs w:val="24"/>
        </w:rPr>
        <w:t xml:space="preserve">, le </w:t>
      </w:r>
      <w:proofErr w:type="spellStart"/>
      <w:r w:rsidRPr="009E682E">
        <w:rPr>
          <w:b/>
          <w:bCs/>
          <w:sz w:val="24"/>
          <w:szCs w:val="24"/>
        </w:rPr>
        <w:t>quercy</w:t>
      </w:r>
      <w:proofErr w:type="spellEnd"/>
      <w:r w:rsidRPr="009E682E">
        <w:rPr>
          <w:b/>
          <w:bCs/>
          <w:sz w:val="24"/>
          <w:szCs w:val="24"/>
        </w:rPr>
        <w:t xml:space="preserve"> ou le cot. Pour le </w:t>
      </w:r>
      <w:proofErr w:type="spellStart"/>
      <w:r w:rsidRPr="009E682E">
        <w:rPr>
          <w:b/>
          <w:bCs/>
          <w:sz w:val="24"/>
          <w:szCs w:val="24"/>
        </w:rPr>
        <w:t>Moyen-Age</w:t>
      </w:r>
      <w:proofErr w:type="spellEnd"/>
      <w:r w:rsidRPr="009E682E">
        <w:rPr>
          <w:b/>
          <w:bCs/>
          <w:sz w:val="24"/>
          <w:szCs w:val="24"/>
        </w:rPr>
        <w:t>, les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représentations réalistes de paysages du Poitou sont extrêmement rares mais l'enluminure du mois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 xml:space="preserve">de mars du livre </w:t>
      </w:r>
      <w:r w:rsidRPr="009E682E">
        <w:rPr>
          <w:b/>
          <w:bCs/>
          <w:i/>
          <w:iCs/>
          <w:sz w:val="24"/>
          <w:szCs w:val="24"/>
        </w:rPr>
        <w:t>Les Très Riches Heures du duc de Berry</w:t>
      </w:r>
      <w:r w:rsidRPr="009E682E">
        <w:rPr>
          <w:b/>
          <w:bCs/>
          <w:sz w:val="24"/>
          <w:szCs w:val="24"/>
        </w:rPr>
        <w:t xml:space="preserve">, peinte vers 1415 </w:t>
      </w:r>
      <w:proofErr w:type="gramStart"/>
      <w:r w:rsidRPr="009E682E">
        <w:rPr>
          <w:b/>
          <w:bCs/>
          <w:sz w:val="24"/>
          <w:szCs w:val="24"/>
        </w:rPr>
        <w:t>montre</w:t>
      </w:r>
      <w:proofErr w:type="gramEnd"/>
      <w:r w:rsidRPr="009E682E">
        <w:rPr>
          <w:b/>
          <w:bCs/>
          <w:sz w:val="24"/>
          <w:szCs w:val="24"/>
        </w:rPr>
        <w:t>, devant le château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de Lusignan, près de Poitiers, des hommes travaillant dans des clos de vignes.</w:t>
      </w:r>
    </w:p>
    <w:p w14:paraId="771973C4" w14:textId="77777777" w:rsidR="009E682E" w:rsidRDefault="009E682E" w:rsidP="009E682E">
      <w:pPr>
        <w:pStyle w:val="p1"/>
        <w:jc w:val="both"/>
      </w:pPr>
    </w:p>
    <w:p w14:paraId="2EC60566" w14:textId="3C1B496C" w:rsidR="009E682E" w:rsidRPr="009E682E" w:rsidRDefault="009E682E" w:rsidP="009E682E">
      <w:pPr>
        <w:pStyle w:val="p1"/>
        <w:jc w:val="both"/>
        <w:rPr>
          <w:strike/>
          <w:sz w:val="24"/>
          <w:szCs w:val="24"/>
        </w:rPr>
      </w:pPr>
      <w:r w:rsidRPr="009E682E">
        <w:rPr>
          <w:strike/>
          <w:sz w:val="24"/>
          <w:szCs w:val="24"/>
        </w:rPr>
        <w:t>Au XVII</w:t>
      </w:r>
      <w:r w:rsidRPr="009E682E">
        <w:rPr>
          <w:rStyle w:val="s1"/>
          <w:rFonts w:eastAsiaTheme="majorEastAsia"/>
          <w:strike/>
          <w:sz w:val="24"/>
          <w:szCs w:val="24"/>
        </w:rPr>
        <w:t xml:space="preserve">ème </w:t>
      </w:r>
      <w:r w:rsidRPr="009E682E">
        <w:rPr>
          <w:strike/>
          <w:sz w:val="24"/>
          <w:szCs w:val="24"/>
        </w:rPr>
        <w:t>siècle, les négociants hollandais, très actifs en Guyenne et à Cognac, expédient les vins du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>« Haut-Poitou » vers les Flandres et les pays riverains de la mer du Nord, parfois même jusqu’en Orient.</w:t>
      </w:r>
    </w:p>
    <w:p w14:paraId="1212FB12" w14:textId="7BE3907E" w:rsidR="009E682E" w:rsidRPr="009E682E" w:rsidRDefault="009E682E" w:rsidP="009E682E">
      <w:pPr>
        <w:pStyle w:val="p1"/>
        <w:jc w:val="both"/>
        <w:rPr>
          <w:strike/>
          <w:sz w:val="24"/>
          <w:szCs w:val="24"/>
        </w:rPr>
      </w:pPr>
      <w:r w:rsidRPr="009E682E">
        <w:rPr>
          <w:strike/>
          <w:sz w:val="24"/>
          <w:szCs w:val="24"/>
        </w:rPr>
        <w:t>Au XVIII</w:t>
      </w:r>
      <w:r w:rsidRPr="009E682E">
        <w:rPr>
          <w:rStyle w:val="s1"/>
          <w:rFonts w:eastAsiaTheme="majorEastAsia"/>
          <w:strike/>
          <w:sz w:val="24"/>
          <w:szCs w:val="24"/>
        </w:rPr>
        <w:t>ème</w:t>
      </w:r>
      <w:r w:rsidRPr="009E682E">
        <w:rPr>
          <w:strike/>
          <w:sz w:val="24"/>
          <w:szCs w:val="24"/>
        </w:rPr>
        <w:t xml:space="preserve"> siècle, la vigne couvre déjà plus de 30000 hectares autour de Poitiers, la plaine neuvilloise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 xml:space="preserve">étant considérée comme « </w:t>
      </w:r>
      <w:r w:rsidRPr="009E682E">
        <w:rPr>
          <w:i/>
          <w:iCs/>
          <w:strike/>
          <w:sz w:val="24"/>
          <w:szCs w:val="24"/>
        </w:rPr>
        <w:t>pays de grand vignoble »</w:t>
      </w:r>
      <w:r w:rsidRPr="009E682E">
        <w:rPr>
          <w:strike/>
          <w:sz w:val="24"/>
          <w:szCs w:val="24"/>
        </w:rPr>
        <w:t>. Cette production viticole atteint son apogée au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>XIX</w:t>
      </w:r>
      <w:r w:rsidRPr="009E682E">
        <w:rPr>
          <w:rStyle w:val="s1"/>
          <w:rFonts w:eastAsiaTheme="majorEastAsia"/>
          <w:strike/>
          <w:sz w:val="24"/>
          <w:szCs w:val="24"/>
        </w:rPr>
        <w:t>ème</w:t>
      </w:r>
      <w:r w:rsidRPr="009E682E">
        <w:rPr>
          <w:strike/>
          <w:sz w:val="24"/>
          <w:szCs w:val="24"/>
        </w:rPr>
        <w:t xml:space="preserve"> siècle, avec 43000 hectares plantés en 1880, peu avant l’arrivée du phylloxera.</w:t>
      </w:r>
    </w:p>
    <w:p w14:paraId="68291591" w14:textId="77777777" w:rsidR="009E682E" w:rsidRDefault="009E682E" w:rsidP="009E682E">
      <w:pPr>
        <w:pStyle w:val="p1"/>
        <w:jc w:val="both"/>
        <w:rPr>
          <w:b/>
          <w:bCs/>
        </w:rPr>
      </w:pPr>
    </w:p>
    <w:p w14:paraId="6164EF5F" w14:textId="77777777" w:rsidR="009E682E" w:rsidRDefault="009E682E" w:rsidP="009E682E">
      <w:pPr>
        <w:pStyle w:val="p1"/>
        <w:jc w:val="both"/>
        <w:rPr>
          <w:b/>
          <w:bCs/>
        </w:rPr>
      </w:pPr>
    </w:p>
    <w:p w14:paraId="3E3AC7AB" w14:textId="77777777" w:rsidR="009E682E" w:rsidRPr="009E682E" w:rsidRDefault="009E682E" w:rsidP="009E682E">
      <w:pPr>
        <w:pStyle w:val="p1"/>
        <w:jc w:val="both"/>
        <w:rPr>
          <w:b/>
          <w:bCs/>
          <w:sz w:val="24"/>
          <w:szCs w:val="24"/>
        </w:rPr>
      </w:pPr>
      <w:r w:rsidRPr="009E682E">
        <w:rPr>
          <w:b/>
          <w:bCs/>
          <w:sz w:val="24"/>
          <w:szCs w:val="24"/>
        </w:rPr>
        <w:t>En 1537, le Clain, affluent de la Vienne, devient navigable entre Poitiers et Châtellerault, profitant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pleinement au commerce des vins produits sur les coteaux de Beaumont, Marigny, Brizay, en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permettant de les envoyer vers Orléans et Paris. Au XVIII</w:t>
      </w:r>
      <w:r w:rsidRPr="009E682E">
        <w:rPr>
          <w:rStyle w:val="s1"/>
          <w:rFonts w:eastAsiaTheme="majorEastAsia"/>
          <w:b/>
          <w:bCs/>
          <w:sz w:val="24"/>
          <w:szCs w:val="24"/>
        </w:rPr>
        <w:t>e</w:t>
      </w:r>
      <w:r w:rsidRPr="009E682E">
        <w:rPr>
          <w:b/>
          <w:bCs/>
          <w:sz w:val="24"/>
          <w:szCs w:val="24"/>
        </w:rPr>
        <w:t xml:space="preserve"> siècle, la </w:t>
      </w:r>
      <w:r w:rsidRPr="009E682E">
        <w:rPr>
          <w:b/>
          <w:bCs/>
          <w:sz w:val="24"/>
          <w:szCs w:val="24"/>
        </w:rPr>
        <w:lastRenderedPageBreak/>
        <w:t>vigne couvre déjà plus de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 xml:space="preserve">30 000 hectares, la plaine neuvilloise étant considérée comme un « </w:t>
      </w:r>
      <w:r w:rsidRPr="009E682E">
        <w:rPr>
          <w:b/>
          <w:bCs/>
          <w:i/>
          <w:iCs/>
          <w:sz w:val="24"/>
          <w:szCs w:val="24"/>
        </w:rPr>
        <w:t>pays de grand vignoble</w:t>
      </w:r>
      <w:r w:rsidRPr="009E682E">
        <w:rPr>
          <w:b/>
          <w:bCs/>
          <w:sz w:val="24"/>
          <w:szCs w:val="24"/>
        </w:rPr>
        <w:t xml:space="preserve"> ». Les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surfaces plantées en vignes augmentent tout au long du XIX</w:t>
      </w:r>
      <w:r w:rsidRPr="009E682E">
        <w:rPr>
          <w:rStyle w:val="s1"/>
          <w:rFonts w:eastAsiaTheme="majorEastAsia"/>
          <w:b/>
          <w:bCs/>
          <w:sz w:val="24"/>
          <w:szCs w:val="24"/>
        </w:rPr>
        <w:t>e</w:t>
      </w:r>
      <w:r w:rsidRPr="009E682E">
        <w:rPr>
          <w:b/>
          <w:bCs/>
          <w:sz w:val="24"/>
          <w:szCs w:val="24"/>
        </w:rPr>
        <w:t xml:space="preserve"> siècle. Le vignoble atteint 43 000 ha à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son apogée. Il est composé pour les blancs de pineau blanc (chenin), fié (sauvignon blanc), fié gris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(sauvignon gris), folle blanche, sémillon, chardonnay et pour les rouges, de pineau du Poitou,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cabernet-franc, saintongeois, cabernet-sauvignon, chenin noir (pineau d'Aunis), gamay noir et cot.</w:t>
      </w:r>
    </w:p>
    <w:p w14:paraId="64AF2B84" w14:textId="77777777" w:rsidR="009E682E" w:rsidRPr="009E682E" w:rsidRDefault="009E682E" w:rsidP="009E682E">
      <w:pPr>
        <w:pStyle w:val="p1"/>
        <w:jc w:val="both"/>
        <w:rPr>
          <w:b/>
          <w:bCs/>
          <w:sz w:val="24"/>
          <w:szCs w:val="24"/>
        </w:rPr>
      </w:pPr>
    </w:p>
    <w:p w14:paraId="262B1DA7" w14:textId="30B73CEA" w:rsidR="009E682E" w:rsidRDefault="009E682E" w:rsidP="009E682E">
      <w:pPr>
        <w:pStyle w:val="p1"/>
        <w:jc w:val="both"/>
      </w:pPr>
      <w:r>
        <w:rPr>
          <w:rStyle w:val="s2"/>
          <w:rFonts w:eastAsiaTheme="majorEastAsia"/>
          <w:i/>
          <w:iCs/>
        </w:rPr>
        <w:t>Modification du cahier des charges de l’AOP « Haut-Poitou » adoptée par le Comité National</w:t>
      </w:r>
      <w:r>
        <w:rPr>
          <w:rStyle w:val="s2"/>
          <w:rFonts w:eastAsiaTheme="majorEastAsia"/>
          <w:i/>
          <w:iCs/>
        </w:rPr>
        <w:t xml:space="preserve"> </w:t>
      </w:r>
      <w:r>
        <w:rPr>
          <w:i/>
          <w:iCs/>
        </w:rPr>
        <w:t>des Appellations d’Origine relatives aux vins et aux boissons alcoolisées, et des boissons</w:t>
      </w:r>
      <w:r>
        <w:rPr>
          <w:i/>
          <w:iCs/>
        </w:rPr>
        <w:t xml:space="preserve"> </w:t>
      </w:r>
      <w:r>
        <w:rPr>
          <w:i/>
          <w:iCs/>
        </w:rPr>
        <w:t>spiritueuses en séance du 10 septembre 2025.</w:t>
      </w:r>
    </w:p>
    <w:p w14:paraId="6C8238F2" w14:textId="77777777" w:rsidR="009E682E" w:rsidRDefault="009E682E" w:rsidP="009E682E">
      <w:pPr>
        <w:pStyle w:val="p1"/>
        <w:jc w:val="both"/>
      </w:pPr>
    </w:p>
    <w:p w14:paraId="1C300A12" w14:textId="43632960" w:rsidR="009E682E" w:rsidRPr="009E682E" w:rsidRDefault="009E682E" w:rsidP="009E682E">
      <w:pPr>
        <w:pStyle w:val="p1"/>
        <w:jc w:val="both"/>
        <w:rPr>
          <w:strike/>
          <w:sz w:val="24"/>
          <w:szCs w:val="24"/>
        </w:rPr>
      </w:pPr>
      <w:r w:rsidRPr="009E682E">
        <w:rPr>
          <w:strike/>
          <w:sz w:val="24"/>
          <w:szCs w:val="24"/>
        </w:rPr>
        <w:t>Après l’épidémie, le vignoble se reconstitue, avec l’appui de la cave coopérative des viticulteurs de la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>Vienne (devenue par la suite la cave coopérative du Haut-Poitou) en 1948, et la création, en 1962, d’un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>groupement de vulgarisation viticole. Cette reconversion conduit à la reconnaissance en appellation</w:t>
      </w:r>
      <w:r w:rsidRPr="009E682E">
        <w:rPr>
          <w:strike/>
          <w:sz w:val="24"/>
          <w:szCs w:val="24"/>
        </w:rPr>
        <w:t xml:space="preserve"> </w:t>
      </w:r>
      <w:r w:rsidRPr="009E682E">
        <w:rPr>
          <w:strike/>
          <w:sz w:val="24"/>
          <w:szCs w:val="24"/>
        </w:rPr>
        <w:t>d’origine vin délimité de qualité supérieure par arrêté du 23 octobre 1970.</w:t>
      </w:r>
    </w:p>
    <w:p w14:paraId="31777949" w14:textId="77777777" w:rsidR="009E682E" w:rsidRDefault="009E682E" w:rsidP="009E682E">
      <w:pPr>
        <w:pStyle w:val="p1"/>
        <w:jc w:val="both"/>
      </w:pPr>
    </w:p>
    <w:p w14:paraId="4F7FD3AC" w14:textId="0A07584E" w:rsidR="009E682E" w:rsidRPr="009E682E" w:rsidRDefault="009E682E" w:rsidP="009E682E">
      <w:pPr>
        <w:pStyle w:val="p1"/>
        <w:jc w:val="both"/>
        <w:rPr>
          <w:sz w:val="24"/>
          <w:szCs w:val="24"/>
        </w:rPr>
      </w:pPr>
      <w:r w:rsidRPr="009E682E">
        <w:rPr>
          <w:b/>
          <w:bCs/>
          <w:sz w:val="24"/>
          <w:szCs w:val="24"/>
        </w:rPr>
        <w:t>A partir de 1878 le phylloxéra ravage la plaine neuvilloise. Puis, le vignoble se reconstitue peu à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peu, avec surtout de la folle blanche greffée sur riparia. Le négoce se renforce dans l’entre-deux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guerres et les vins du Haut-Poitou, majoritairement blancs, sont exportés par wagons-citernes de la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gare de Neuville dans le nord de la France et jusqu’en Allemagne. Les vins produits sur les coteaux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dominant la vallée du Clain gagnent en réputation. En septembre 1945 est publiée la liste des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 xml:space="preserve">« </w:t>
      </w:r>
      <w:r w:rsidRPr="009E682E">
        <w:rPr>
          <w:b/>
          <w:bCs/>
          <w:i/>
          <w:iCs/>
          <w:sz w:val="24"/>
          <w:szCs w:val="24"/>
        </w:rPr>
        <w:t>fiefs</w:t>
      </w:r>
      <w:r w:rsidRPr="009E682E">
        <w:rPr>
          <w:b/>
          <w:bCs/>
          <w:sz w:val="24"/>
          <w:szCs w:val="24"/>
        </w:rPr>
        <w:t xml:space="preserve"> » viticoles distingués par l’appellation Vins Délimités de Qualité Supérieure « </w:t>
      </w:r>
      <w:r w:rsidRPr="009E682E">
        <w:rPr>
          <w:b/>
          <w:bCs/>
          <w:i/>
          <w:iCs/>
          <w:sz w:val="24"/>
          <w:szCs w:val="24"/>
        </w:rPr>
        <w:t>Vins des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i/>
          <w:iCs/>
          <w:sz w:val="24"/>
          <w:szCs w:val="24"/>
        </w:rPr>
        <w:t>coteaux de Loudun et de Marigny-Brizay</w:t>
      </w:r>
      <w:r w:rsidRPr="009E682E">
        <w:rPr>
          <w:b/>
          <w:bCs/>
          <w:sz w:val="24"/>
          <w:szCs w:val="24"/>
        </w:rPr>
        <w:t xml:space="preserve"> ».</w:t>
      </w:r>
    </w:p>
    <w:p w14:paraId="5E41B0B3" w14:textId="225CEB6D" w:rsidR="009E682E" w:rsidRPr="009E682E" w:rsidRDefault="009E682E" w:rsidP="009E682E">
      <w:pPr>
        <w:pStyle w:val="p1"/>
        <w:jc w:val="both"/>
        <w:rPr>
          <w:sz w:val="24"/>
          <w:szCs w:val="24"/>
        </w:rPr>
      </w:pPr>
      <w:r w:rsidRPr="009E682E">
        <w:rPr>
          <w:b/>
          <w:bCs/>
          <w:sz w:val="24"/>
          <w:szCs w:val="24"/>
        </w:rPr>
        <w:t>En 1948, dans un contexte difficile pour le commerce des vins, la Cave Coopérative des Viticulteurs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de la Vienne est créée à Neuville-de-Poitou. Elle va connaître un développement considérable,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passant de 690 vignerons en 1952 à 1181 en 1962 pour 155 000 hectolitres de vin. En 1960, le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vignoble du Haut-Poitou couvre 6 000 hectares. Les coteaux crayeux de Marigny-Brizay et de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Beaumont donnent des vins cotés que les vignerons indépendants mettent en bouteilles et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commercialisent directement. Sur les terres de groies, les hybrides tiennent une large place mais la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folle blanche couvre encore plus de 2 000 hectares. Leur récolte alimente en grande partie la cave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coopérative, qui compte plus de 1 300 adhérents en 1968. Au cours des années 1960, s’engage un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vaste projet de replantation du vignoble avec des cépages nobles. Le marché a évolué et les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consommateurs recherchent davantage la qualité. Le Groupement de Vulgarisation Agricole du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Neuvillois est créé en 1962 pour conseiller et former les vignerons dans cette évolution. Il réunit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rapidement plus de 200 exploitants sur 35 communes. Partout, on arrache les hybrides et on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replante sauvignon, chardonnay, chenin, gamay, pinot noir, cabernet franc, merlot... sur des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terrains choisis. Le vignoble se resserre, de 4 500 hectares en 1963 à 3 400 en 1970.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En 1969, les vignerons s’unissent pour défendre et promouvoir la qualité de leurs vins, ce qui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conduit à la reconnaissance en Appellation d'Origine Vin Délimité de Qualité Supérieure par arrêté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du 23 octobre 1970. Dès 1982, le Haut-Poitou est distribué sur les cinq continents et dans dix-sept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pays. Mais les vignerons cherchent encore à améliorer la qualité de leur production en vue de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l’appellation d’origine contrôlée. Concurrencé par les grandes cultures, le vignoble diminue encore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mais il se concentre entre les mains de vignerons motivés qui vont engager un travail considérable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pour retenir les terroirs les plus qualitatifs, recentrer les cépages et les assemblages sur la typicité et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l'originalité des vins produits. Un conservatoire de vieilles lignées de fié gris est mis en place en 1991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afin de conduire à la sélection de nouveaux clones.</w:t>
      </w:r>
    </w:p>
    <w:p w14:paraId="26B269ED" w14:textId="4224E7E9" w:rsidR="009E682E" w:rsidRPr="009E682E" w:rsidRDefault="009E682E" w:rsidP="009E682E">
      <w:pPr>
        <w:pStyle w:val="p1"/>
        <w:jc w:val="both"/>
        <w:rPr>
          <w:sz w:val="24"/>
          <w:szCs w:val="24"/>
        </w:rPr>
      </w:pPr>
      <w:r w:rsidRPr="009E682E">
        <w:rPr>
          <w:b/>
          <w:bCs/>
          <w:sz w:val="24"/>
          <w:szCs w:val="24"/>
        </w:rPr>
        <w:t>Les efforts des vignerons aboutissent finalement à la reconnaissance en Appellation d’Origine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Contrôlée le 16 novembre 2010. Mais la coopérative, qui représente encore 70 % des volumes,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 xml:space="preserve">connaît des difficultés économiques depuis le gel de 1991, elle finit par </w:t>
      </w:r>
      <w:r w:rsidRPr="009E682E">
        <w:rPr>
          <w:b/>
          <w:bCs/>
          <w:sz w:val="24"/>
          <w:szCs w:val="24"/>
        </w:rPr>
        <w:lastRenderedPageBreak/>
        <w:t>être liquidée en 2013. La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trentaine de coopérateurs doivent se réorganiser. Connaissant la qualité des terroirs, l'originalité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des vins et l'implication des vignerons, des entreprises de négoce s'investissent dans cette jeune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appellation. Une bonne dynamique se met en place, entraînant apporteurs de raisins et vignerons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indépendants. Le vignoble se renouvelle. Le sauvignon blanc et le fié gris, qui représentent 80 % de</w:t>
      </w:r>
      <w:r w:rsidRPr="009E682E">
        <w:rPr>
          <w:sz w:val="24"/>
          <w:szCs w:val="24"/>
        </w:rPr>
        <w:t xml:space="preserve"> </w:t>
      </w:r>
      <w:r w:rsidRPr="009E682E">
        <w:rPr>
          <w:b/>
          <w:bCs/>
          <w:sz w:val="24"/>
          <w:szCs w:val="24"/>
        </w:rPr>
        <w:t>la production, sont particulièrement mis en valeur sur les marchés locaux comme à l'export.</w:t>
      </w:r>
    </w:p>
    <w:p w14:paraId="193E53D2" w14:textId="77777777" w:rsidR="009E682E" w:rsidRDefault="009E682E" w:rsidP="009E682E">
      <w:pPr>
        <w:jc w:val="both"/>
      </w:pPr>
    </w:p>
    <w:sectPr w:rsidR="009E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2E"/>
    <w:rsid w:val="002241AA"/>
    <w:rsid w:val="009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FE653E"/>
  <w15:chartTrackingRefBased/>
  <w15:docId w15:val="{9D7DB3BB-1BC1-3F4C-B116-5C3460B7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6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6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6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6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6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6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6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6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6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68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68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68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68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68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68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6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6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6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68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68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68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68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682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E682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fr-FR"/>
      <w14:ligatures w14:val="none"/>
    </w:rPr>
  </w:style>
  <w:style w:type="paragraph" w:customStyle="1" w:styleId="p2">
    <w:name w:val="p2"/>
    <w:basedOn w:val="Normal"/>
    <w:rsid w:val="009E682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  <w:style w:type="character" w:customStyle="1" w:styleId="s1">
    <w:name w:val="s1"/>
    <w:basedOn w:val="Policepardfaut"/>
    <w:rsid w:val="009E682E"/>
    <w:rPr>
      <w:rFonts w:ascii="Times New Roman" w:hAnsi="Times New Roman" w:cs="Times New Roman" w:hint="default"/>
      <w:sz w:val="11"/>
      <w:szCs w:val="11"/>
    </w:rPr>
  </w:style>
  <w:style w:type="character" w:customStyle="1" w:styleId="s2">
    <w:name w:val="s2"/>
    <w:basedOn w:val="Policepardfaut"/>
    <w:rsid w:val="009E682E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basedOn w:val="Policepardfaut"/>
    <w:rsid w:val="009E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1292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1</cp:revision>
  <dcterms:created xsi:type="dcterms:W3CDTF">2025-12-03T11:56:00Z</dcterms:created>
  <dcterms:modified xsi:type="dcterms:W3CDTF">2025-12-03T12:08:00Z</dcterms:modified>
</cp:coreProperties>
</file>