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0F53" w14:textId="6E160AE0" w:rsidR="008B4A73" w:rsidRDefault="008B4A73">
      <w:r w:rsidRPr="008B4A73">
        <w:t>HAUT POITOU AOP : SUPPRESSION DES ME</w:t>
      </w:r>
      <w:r>
        <w:t>SURES TRANSITOIRES</w:t>
      </w:r>
    </w:p>
    <w:p w14:paraId="2999F93A" w14:textId="0CCA35AB" w:rsidR="008B4A73" w:rsidRDefault="008B4A73">
      <w:r>
        <w:t>Les mesures transitoires suivantes sont supprimées :</w:t>
      </w:r>
    </w:p>
    <w:p w14:paraId="4A583B10" w14:textId="77777777" w:rsidR="008B4A73" w:rsidRDefault="008B4A73"/>
    <w:p w14:paraId="1C16F3B8" w14:textId="77777777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b/>
          <w:bCs/>
          <w:sz w:val="24"/>
          <w:szCs w:val="24"/>
        </w:rPr>
        <w:t>XI. - Mesures transitoires</w:t>
      </w:r>
    </w:p>
    <w:p w14:paraId="379098CE" w14:textId="77777777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i/>
          <w:iCs/>
          <w:sz w:val="24"/>
          <w:szCs w:val="24"/>
        </w:rPr>
        <w:t>1°- Aire parcellaire délimitée</w:t>
      </w:r>
    </w:p>
    <w:p w14:paraId="3932E2F0" w14:textId="535ED3A9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sz w:val="24"/>
          <w:szCs w:val="24"/>
        </w:rPr>
        <w:t>Les parcelles plantées en vignes et revendiquées à la date du 16 novembre 2010, exclues de l’aire</w:t>
      </w:r>
      <w:r>
        <w:rPr>
          <w:sz w:val="24"/>
          <w:szCs w:val="24"/>
        </w:rPr>
        <w:t xml:space="preserve"> </w:t>
      </w:r>
      <w:r w:rsidRPr="008B4A73">
        <w:rPr>
          <w:sz w:val="24"/>
          <w:szCs w:val="24"/>
        </w:rPr>
        <w:t>parcellaire délimitée de l’appellation d’origine contrôlée, sous réserve qu’elles répondent aux autres</w:t>
      </w:r>
      <w:r>
        <w:rPr>
          <w:sz w:val="24"/>
          <w:szCs w:val="24"/>
        </w:rPr>
        <w:t xml:space="preserve"> </w:t>
      </w:r>
      <w:r w:rsidRPr="008B4A73">
        <w:rPr>
          <w:sz w:val="24"/>
          <w:szCs w:val="24"/>
        </w:rPr>
        <w:t>dispositions du présent cahier des charges, bénéficient, pour leur récolte, du droit à l’appellation d’origine</w:t>
      </w:r>
      <w:r>
        <w:rPr>
          <w:sz w:val="24"/>
          <w:szCs w:val="24"/>
        </w:rPr>
        <w:t xml:space="preserve"> </w:t>
      </w:r>
      <w:r w:rsidRPr="008B4A73">
        <w:rPr>
          <w:sz w:val="24"/>
          <w:szCs w:val="24"/>
        </w:rPr>
        <w:t>contrôlée jusqu’à leur arrachage et au plus tard jusqu’à la récolte 2021 incluse.</w:t>
      </w:r>
    </w:p>
    <w:p w14:paraId="7038ED46" w14:textId="77777777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i/>
          <w:iCs/>
          <w:sz w:val="24"/>
          <w:szCs w:val="24"/>
        </w:rPr>
        <w:t>2°- Encépagement, règles de proportion à l’exploitation, règles de taille et règles d’assemblages</w:t>
      </w:r>
    </w:p>
    <w:p w14:paraId="6182A917" w14:textId="09F07009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sz w:val="24"/>
          <w:szCs w:val="24"/>
        </w:rPr>
        <w:t>a) – La disposition relative à l’obligation d’une proportion de 60 % de cépage cabernet franc N dans</w:t>
      </w:r>
      <w:r>
        <w:rPr>
          <w:sz w:val="24"/>
          <w:szCs w:val="24"/>
        </w:rPr>
        <w:t xml:space="preserve"> </w:t>
      </w:r>
      <w:r w:rsidRPr="008B4A73">
        <w:rPr>
          <w:sz w:val="24"/>
          <w:szCs w:val="24"/>
        </w:rPr>
        <w:t>l’encépagement des vins rouges s’applique à compter de la récolte 2021.</w:t>
      </w:r>
    </w:p>
    <w:p w14:paraId="106485C2" w14:textId="376D472A" w:rsidR="008B4A73" w:rsidRPr="008B4A73" w:rsidRDefault="008B4A73" w:rsidP="008B4A73">
      <w:pPr>
        <w:pStyle w:val="p2"/>
        <w:rPr>
          <w:sz w:val="24"/>
          <w:szCs w:val="24"/>
        </w:rPr>
      </w:pPr>
      <w:r w:rsidRPr="008B4A73">
        <w:rPr>
          <w:rStyle w:val="s1"/>
          <w:rFonts w:eastAsiaTheme="majorEastAsia"/>
          <w:sz w:val="24"/>
          <w:szCs w:val="24"/>
        </w:rPr>
        <w:t>Jusqu’à la récolte 2020 incluse</w:t>
      </w:r>
      <w:r>
        <w:rPr>
          <w:rStyle w:val="s1"/>
          <w:rFonts w:eastAsiaTheme="majorEastAsia"/>
          <w:sz w:val="24"/>
          <w:szCs w:val="24"/>
        </w:rPr>
        <w:t> :</w:t>
      </w:r>
    </w:p>
    <w:p w14:paraId="7B6C1081" w14:textId="77777777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sz w:val="24"/>
          <w:szCs w:val="24"/>
        </w:rPr>
        <w:t>- la proportion de ce cépage est supérieure ou égale à 40 % de l’encépagement ;</w:t>
      </w:r>
    </w:p>
    <w:p w14:paraId="630923DA" w14:textId="73814356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sz w:val="24"/>
          <w:szCs w:val="24"/>
        </w:rPr>
        <w:t>- les vins sont issus du seul cépage cabernet franc N ou d’un assemblage dans lequel la proportion du</w:t>
      </w:r>
      <w:r>
        <w:rPr>
          <w:sz w:val="24"/>
          <w:szCs w:val="24"/>
        </w:rPr>
        <w:t xml:space="preserve"> </w:t>
      </w:r>
      <w:r w:rsidRPr="008B4A73">
        <w:rPr>
          <w:sz w:val="24"/>
          <w:szCs w:val="24"/>
        </w:rPr>
        <w:t>cépage cabernet franc N est supérieure ou égale à 40 %.</w:t>
      </w:r>
    </w:p>
    <w:p w14:paraId="5F49BE09" w14:textId="67F5301B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sz w:val="24"/>
          <w:szCs w:val="24"/>
        </w:rPr>
        <w:t>b) – La disposition relative à l’obligation de la présence des 3 cépages dans l’encépagement des vins rosés</w:t>
      </w:r>
      <w:r>
        <w:rPr>
          <w:sz w:val="24"/>
          <w:szCs w:val="24"/>
        </w:rPr>
        <w:t xml:space="preserve"> </w:t>
      </w:r>
      <w:r w:rsidRPr="008B4A73">
        <w:rPr>
          <w:sz w:val="24"/>
          <w:szCs w:val="24"/>
        </w:rPr>
        <w:t>s’applique à compter de la récolte 2021.</w:t>
      </w:r>
    </w:p>
    <w:p w14:paraId="2B0C54D5" w14:textId="77777777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sz w:val="24"/>
          <w:szCs w:val="24"/>
        </w:rPr>
        <w:t>Jusqu’à la récolte 2020 incluse :</w:t>
      </w:r>
    </w:p>
    <w:p w14:paraId="131F48FF" w14:textId="77777777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sz w:val="24"/>
          <w:szCs w:val="24"/>
        </w:rPr>
        <w:t>- seuls les cépages cabernet franc N et gamay N sont obligatoirement présents dans l’encépagement ;</w:t>
      </w:r>
    </w:p>
    <w:p w14:paraId="32401B68" w14:textId="77777777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sz w:val="24"/>
          <w:szCs w:val="24"/>
        </w:rPr>
        <w:t>- la proportion de chacun de ces cépages est supérieure ou égale à 20 % ;</w:t>
      </w:r>
    </w:p>
    <w:p w14:paraId="16407917" w14:textId="69F6C7E9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sz w:val="24"/>
          <w:szCs w:val="24"/>
        </w:rPr>
        <w:t>- les vins sont issus d’un assemblage dans lequel la proportion de chacun de ces cépages est supérieure ou</w:t>
      </w:r>
      <w:r>
        <w:rPr>
          <w:sz w:val="24"/>
          <w:szCs w:val="24"/>
        </w:rPr>
        <w:t xml:space="preserve"> </w:t>
      </w:r>
      <w:r w:rsidRPr="008B4A73">
        <w:rPr>
          <w:sz w:val="24"/>
          <w:szCs w:val="24"/>
        </w:rPr>
        <w:t>égale à 20 %.</w:t>
      </w:r>
    </w:p>
    <w:p w14:paraId="45EA703B" w14:textId="47485D6B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sz w:val="24"/>
          <w:szCs w:val="24"/>
        </w:rPr>
        <w:t>c) - Les vins rosés susceptibles de bénéficier de l’appellation d’origine contrôlée peuvent être issus du</w:t>
      </w:r>
      <w:r>
        <w:rPr>
          <w:sz w:val="24"/>
          <w:szCs w:val="24"/>
        </w:rPr>
        <w:t xml:space="preserve"> </w:t>
      </w:r>
      <w:r w:rsidRPr="008B4A73">
        <w:rPr>
          <w:sz w:val="24"/>
          <w:szCs w:val="24"/>
        </w:rPr>
        <w:t>cépage cabernet-sauvignon N au titre de cépage accessoire, pour les parcelles de vigne en place à la date</w:t>
      </w:r>
      <w:r>
        <w:rPr>
          <w:sz w:val="24"/>
          <w:szCs w:val="24"/>
        </w:rPr>
        <w:t xml:space="preserve"> </w:t>
      </w:r>
      <w:r w:rsidRPr="008B4A73">
        <w:rPr>
          <w:sz w:val="24"/>
          <w:szCs w:val="24"/>
        </w:rPr>
        <w:t>d’homologation du présent cahier des charges et ce jusqu’à l’arrachage desdites parcelles et au plus tard</w:t>
      </w:r>
      <w:r>
        <w:rPr>
          <w:sz w:val="24"/>
          <w:szCs w:val="24"/>
        </w:rPr>
        <w:t xml:space="preserve"> </w:t>
      </w:r>
      <w:r w:rsidRPr="008B4A73">
        <w:rPr>
          <w:sz w:val="24"/>
          <w:szCs w:val="24"/>
        </w:rPr>
        <w:t>jusqu'à la récolte de l'année 2020 incluse.</w:t>
      </w:r>
    </w:p>
    <w:p w14:paraId="33B2EF98" w14:textId="036790EB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sz w:val="24"/>
          <w:szCs w:val="24"/>
        </w:rPr>
        <w:t>Les règles de taille qui s’appliquent à ce cépage sont celles définies dans le présent cahier des charges</w:t>
      </w:r>
      <w:r>
        <w:rPr>
          <w:sz w:val="24"/>
          <w:szCs w:val="24"/>
        </w:rPr>
        <w:t xml:space="preserve"> </w:t>
      </w:r>
      <w:r w:rsidRPr="008B4A73">
        <w:rPr>
          <w:sz w:val="24"/>
          <w:szCs w:val="24"/>
        </w:rPr>
        <w:t>pour les cépages cabernet franc N, merlot N, pinot noir N, sauvignon B et sauvignon gris G.</w:t>
      </w:r>
    </w:p>
    <w:p w14:paraId="729E6FC9" w14:textId="77777777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sz w:val="24"/>
          <w:szCs w:val="24"/>
        </w:rPr>
        <w:t>La proportion de ce cépage est inférieure ou égale à 10 % de l’encépagement.</w:t>
      </w:r>
    </w:p>
    <w:p w14:paraId="43335C7E" w14:textId="77777777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sz w:val="24"/>
          <w:szCs w:val="24"/>
        </w:rPr>
        <w:t>La proportion de ce cépage dans l’assemblage des vins est inférieure ou égale à 10 %.</w:t>
      </w:r>
    </w:p>
    <w:p w14:paraId="24702BF6" w14:textId="77777777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i/>
          <w:iCs/>
          <w:sz w:val="24"/>
          <w:szCs w:val="24"/>
        </w:rPr>
        <w:t>3°- Modes de conduite</w:t>
      </w:r>
    </w:p>
    <w:p w14:paraId="7A687C25" w14:textId="7BE0FAF1" w:rsidR="008B4A73" w:rsidRPr="008B4A73" w:rsidRDefault="008B4A73" w:rsidP="008B4A73">
      <w:pPr>
        <w:pStyle w:val="p1"/>
        <w:rPr>
          <w:sz w:val="24"/>
          <w:szCs w:val="24"/>
        </w:rPr>
      </w:pPr>
      <w:r w:rsidRPr="008B4A73">
        <w:rPr>
          <w:sz w:val="24"/>
          <w:szCs w:val="24"/>
        </w:rPr>
        <w:t>Les parcelles de vigne en place à la date d’homologation du présent cahier des charges, présentant une</w:t>
      </w:r>
      <w:r>
        <w:rPr>
          <w:sz w:val="24"/>
          <w:szCs w:val="24"/>
        </w:rPr>
        <w:t xml:space="preserve"> </w:t>
      </w:r>
      <w:r w:rsidRPr="008B4A73">
        <w:rPr>
          <w:sz w:val="24"/>
          <w:szCs w:val="24"/>
        </w:rPr>
        <w:t>densité de plantation comprise entre 3300 pieds à l’hectare et 4200 pieds à l’hectare bénéficient, pour leur</w:t>
      </w:r>
      <w:r>
        <w:rPr>
          <w:sz w:val="24"/>
          <w:szCs w:val="24"/>
        </w:rPr>
        <w:t xml:space="preserve"> </w:t>
      </w:r>
      <w:r w:rsidRPr="008B4A73">
        <w:rPr>
          <w:sz w:val="24"/>
          <w:szCs w:val="24"/>
        </w:rPr>
        <w:t>récolte, du droit à l'appellation d'origine contrôlée jusqu'à leur arrachage et au plus tard jusqu'à la récolte</w:t>
      </w:r>
      <w:r>
        <w:rPr>
          <w:sz w:val="24"/>
          <w:szCs w:val="24"/>
        </w:rPr>
        <w:t xml:space="preserve"> </w:t>
      </w:r>
      <w:r w:rsidRPr="008B4A73">
        <w:rPr>
          <w:sz w:val="24"/>
          <w:szCs w:val="24"/>
        </w:rPr>
        <w:t>2024 incluse, sous réserve de répondre aux autres dispositions du présent cahier des charges.</w:t>
      </w:r>
    </w:p>
    <w:p w14:paraId="3DA22E87" w14:textId="77777777" w:rsidR="008B4A73" w:rsidRPr="008B4A73" w:rsidRDefault="008B4A73"/>
    <w:p w14:paraId="30F6EE6D" w14:textId="77777777" w:rsidR="00CE07CC" w:rsidRPr="00CE07CC" w:rsidRDefault="00CE07CC" w:rsidP="00CE07CC">
      <w:pPr>
        <w:pStyle w:val="p1"/>
        <w:jc w:val="center"/>
        <w:rPr>
          <w:sz w:val="24"/>
          <w:szCs w:val="24"/>
        </w:rPr>
      </w:pPr>
      <w:r w:rsidRPr="00CE07CC">
        <w:rPr>
          <w:b/>
          <w:bCs/>
          <w:sz w:val="24"/>
          <w:szCs w:val="24"/>
        </w:rPr>
        <w:t>Obligations déclaratives</w:t>
      </w:r>
    </w:p>
    <w:p w14:paraId="415DE925" w14:textId="3F6D0E32" w:rsidR="008B4A73" w:rsidRPr="00CE07CC" w:rsidRDefault="00CE07CC">
      <w:r w:rsidRPr="00CE07CC">
        <w:t>Au paragraphe suivant :</w:t>
      </w:r>
    </w:p>
    <w:p w14:paraId="35383369" w14:textId="77777777" w:rsidR="00CE07CC" w:rsidRPr="00CE07CC" w:rsidRDefault="00CE07CC"/>
    <w:p w14:paraId="4503AFCE" w14:textId="7C1C0DA4" w:rsidR="00CE07CC" w:rsidRPr="00CE07CC" w:rsidRDefault="00CE07CC" w:rsidP="00CE07C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CE07C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lastRenderedPageBreak/>
        <w:t>Chaque opérateur déclare, avant le 1er février de l’année de la récolte, auprès de l’organisme de défense et</w:t>
      </w:r>
      <w:r w:rsidRPr="00CE07C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Pr="00CE07C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de gestion, la liste </w:t>
      </w:r>
      <w:proofErr w:type="spellStart"/>
      <w:r w:rsidRPr="00CE07C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des</w:t>
      </w:r>
      <w:proofErr w:type="spellEnd"/>
      <w:r w:rsidRPr="00CE07C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Pr="00CE07C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les</w:t>
      </w:r>
      <w:r w:rsidRPr="00CE07C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parcelles affectées à la production de l’appellation d’origine contrôlée.</w:t>
      </w:r>
    </w:p>
    <w:p w14:paraId="06AA9F06" w14:textId="77777777" w:rsidR="00CE07CC" w:rsidRPr="00CE07CC" w:rsidRDefault="00CE07CC"/>
    <w:p w14:paraId="63DE21DF" w14:textId="381C6FBA" w:rsidR="00CE07CC" w:rsidRPr="00CE07CC" w:rsidRDefault="00CE07CC">
      <w:r w:rsidRPr="00CE07CC">
        <w:t>Est ajouté :</w:t>
      </w:r>
    </w:p>
    <w:p w14:paraId="51BF7365" w14:textId="4E1CACA1" w:rsidR="00CE07CC" w:rsidRPr="00CE07CC" w:rsidRDefault="00CE07CC" w:rsidP="00CE07CC">
      <w:pPr>
        <w:pStyle w:val="p1"/>
        <w:rPr>
          <w:sz w:val="24"/>
          <w:szCs w:val="24"/>
        </w:rPr>
      </w:pPr>
      <w:r w:rsidRPr="00CE07CC">
        <w:rPr>
          <w:b/>
          <w:bCs/>
          <w:sz w:val="24"/>
          <w:szCs w:val="24"/>
        </w:rPr>
        <w:t xml:space="preserve"> </w:t>
      </w:r>
      <w:r w:rsidRPr="00CE07CC">
        <w:rPr>
          <w:b/>
          <w:bCs/>
          <w:sz w:val="24"/>
          <w:szCs w:val="24"/>
        </w:rPr>
        <w:t>Un</w:t>
      </w:r>
      <w:r w:rsidRPr="00CE07CC">
        <w:rPr>
          <w:b/>
          <w:bCs/>
          <w:sz w:val="24"/>
          <w:szCs w:val="24"/>
        </w:rPr>
        <w:t xml:space="preserve"> récapitulatif des surfaces affectées par cépage.</w:t>
      </w:r>
    </w:p>
    <w:p w14:paraId="61958A76" w14:textId="77777777" w:rsidR="00CE07CC" w:rsidRPr="00CE07CC" w:rsidRDefault="00CE07CC"/>
    <w:p w14:paraId="68F0B344" w14:textId="1750034E" w:rsidR="00CE07CC" w:rsidRPr="00CE07CC" w:rsidRDefault="00CE07CC" w:rsidP="00CE07CC">
      <w:pPr>
        <w:pStyle w:val="p1"/>
        <w:rPr>
          <w:sz w:val="24"/>
          <w:szCs w:val="24"/>
        </w:rPr>
      </w:pPr>
      <w:r w:rsidRPr="00CE07CC">
        <w:rPr>
          <w:b/>
          <w:bCs/>
          <w:sz w:val="24"/>
          <w:szCs w:val="24"/>
        </w:rPr>
        <w:t>Tout opérateur tient à jour un registre qui rappelle les informations de la fiche CVI et qui précise,</w:t>
      </w:r>
      <w:r w:rsidRPr="00CE07CC">
        <w:rPr>
          <w:sz w:val="24"/>
          <w:szCs w:val="24"/>
        </w:rPr>
        <w:t xml:space="preserve"> </w:t>
      </w:r>
      <w:r w:rsidRPr="00CE07CC">
        <w:rPr>
          <w:b/>
          <w:bCs/>
          <w:sz w:val="24"/>
          <w:szCs w:val="24"/>
        </w:rPr>
        <w:t>pour chaque parcelle affectée, le pourcentage de pieds morts ou manquants.</w:t>
      </w:r>
    </w:p>
    <w:p w14:paraId="7BBFF0A2" w14:textId="77777777" w:rsidR="00CE07CC" w:rsidRPr="00CE07CC" w:rsidRDefault="00CE07CC"/>
    <w:p w14:paraId="78A957D7" w14:textId="77777777" w:rsidR="00CE07CC" w:rsidRPr="00CE07CC" w:rsidRDefault="00CE07CC" w:rsidP="00CE07CC">
      <w:pPr>
        <w:pStyle w:val="p1"/>
        <w:jc w:val="center"/>
        <w:rPr>
          <w:b/>
          <w:bCs/>
          <w:sz w:val="24"/>
          <w:szCs w:val="24"/>
        </w:rPr>
      </w:pPr>
      <w:r w:rsidRPr="00CE07CC">
        <w:rPr>
          <w:b/>
          <w:bCs/>
          <w:sz w:val="24"/>
          <w:szCs w:val="24"/>
        </w:rPr>
        <w:t>Registre de suivi de maturité</w:t>
      </w:r>
    </w:p>
    <w:p w14:paraId="193A1B98" w14:textId="77777777" w:rsidR="00CE07CC" w:rsidRPr="00CE07CC" w:rsidRDefault="00CE07CC" w:rsidP="00CE07CC">
      <w:pPr>
        <w:pStyle w:val="p1"/>
        <w:jc w:val="center"/>
        <w:rPr>
          <w:sz w:val="24"/>
          <w:szCs w:val="24"/>
        </w:rPr>
      </w:pPr>
    </w:p>
    <w:p w14:paraId="09574604" w14:textId="5CECA8D3" w:rsidR="00CE07CC" w:rsidRPr="00CE07CC" w:rsidRDefault="00CE07CC" w:rsidP="00CE07CC">
      <w:pPr>
        <w:pStyle w:val="p1"/>
        <w:rPr>
          <w:sz w:val="24"/>
          <w:szCs w:val="24"/>
        </w:rPr>
      </w:pPr>
      <w:r w:rsidRPr="00CE07CC">
        <w:rPr>
          <w:b/>
          <w:bCs/>
          <w:sz w:val="24"/>
          <w:szCs w:val="24"/>
        </w:rPr>
        <w:t>Tout opérateur produisant des raisins susceptibles de produire de l’appellation d’origine contrôlée</w:t>
      </w:r>
      <w:r w:rsidRPr="00CE07CC">
        <w:rPr>
          <w:sz w:val="24"/>
          <w:szCs w:val="24"/>
        </w:rPr>
        <w:t xml:space="preserve"> </w:t>
      </w:r>
      <w:r w:rsidRPr="00CE07CC">
        <w:rPr>
          <w:b/>
          <w:bCs/>
          <w:sz w:val="24"/>
          <w:szCs w:val="24"/>
        </w:rPr>
        <w:t>tient à jour un registre sur lequel sont enregistrés, chaque année et pour chaque cépage, les</w:t>
      </w:r>
      <w:r w:rsidRPr="00CE07CC">
        <w:rPr>
          <w:sz w:val="24"/>
          <w:szCs w:val="24"/>
        </w:rPr>
        <w:t xml:space="preserve"> </w:t>
      </w:r>
      <w:r w:rsidRPr="00CE07CC">
        <w:rPr>
          <w:b/>
          <w:bCs/>
          <w:sz w:val="24"/>
          <w:szCs w:val="24"/>
        </w:rPr>
        <w:t>résultats d’au moins un contrôle de maturité mentionnant notamment la richesse en sucre des</w:t>
      </w:r>
      <w:r w:rsidRPr="00CE07CC">
        <w:rPr>
          <w:sz w:val="24"/>
          <w:szCs w:val="24"/>
        </w:rPr>
        <w:t xml:space="preserve"> </w:t>
      </w:r>
      <w:r w:rsidRPr="00CE07CC">
        <w:rPr>
          <w:b/>
          <w:bCs/>
          <w:sz w:val="24"/>
          <w:szCs w:val="24"/>
        </w:rPr>
        <w:t>raisins et l'acidité totale.</w:t>
      </w:r>
      <w:r w:rsidRPr="00CE07CC">
        <w:rPr>
          <w:sz w:val="24"/>
          <w:szCs w:val="24"/>
        </w:rPr>
        <w:t xml:space="preserve"> </w:t>
      </w:r>
      <w:r w:rsidRPr="00CE07CC">
        <w:rPr>
          <w:b/>
          <w:bCs/>
          <w:sz w:val="24"/>
          <w:szCs w:val="24"/>
        </w:rPr>
        <w:t>Tout opérateur produisant des vins susceptibles de bénéficier de l’appellation d’origine contrôlée</w:t>
      </w:r>
      <w:r w:rsidRPr="00CE07CC">
        <w:rPr>
          <w:sz w:val="24"/>
          <w:szCs w:val="24"/>
        </w:rPr>
        <w:t xml:space="preserve"> </w:t>
      </w:r>
      <w:r w:rsidRPr="00CE07CC">
        <w:rPr>
          <w:b/>
          <w:bCs/>
          <w:sz w:val="24"/>
          <w:szCs w:val="24"/>
        </w:rPr>
        <w:t>tient à jour un registre sur lequel sont</w:t>
      </w:r>
      <w:r>
        <w:rPr>
          <w:b/>
          <w:bCs/>
        </w:rPr>
        <w:t xml:space="preserve"> </w:t>
      </w:r>
      <w:r w:rsidRPr="00CE07CC">
        <w:rPr>
          <w:b/>
          <w:bCs/>
          <w:sz w:val="24"/>
          <w:szCs w:val="24"/>
        </w:rPr>
        <w:t>enregistrés chaque année, par contenant, le titre</w:t>
      </w:r>
      <w:r w:rsidRPr="00CE07CC">
        <w:rPr>
          <w:sz w:val="24"/>
          <w:szCs w:val="24"/>
        </w:rPr>
        <w:t xml:space="preserve"> </w:t>
      </w:r>
      <w:r w:rsidRPr="00CE07CC">
        <w:rPr>
          <w:b/>
          <w:bCs/>
          <w:sz w:val="24"/>
          <w:szCs w:val="24"/>
        </w:rPr>
        <w:t>alcoométrique volumique naturel lors du remplissage du contenant.</w:t>
      </w:r>
    </w:p>
    <w:p w14:paraId="32EDBF41" w14:textId="77777777" w:rsidR="00CE07CC" w:rsidRPr="00CE07CC" w:rsidRDefault="00CE07CC"/>
    <w:sectPr w:rsidR="00CE07CC" w:rsidRPr="00CE0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73"/>
    <w:rsid w:val="002241AA"/>
    <w:rsid w:val="008B4A73"/>
    <w:rsid w:val="00C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3CFDA6"/>
  <w15:chartTrackingRefBased/>
  <w15:docId w15:val="{679FCBDB-F2C1-9845-AC67-73574F0E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4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4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4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4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4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4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4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4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4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4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4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4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4A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4A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4A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4A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4A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4A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4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4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4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4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4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4A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4A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4A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4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4A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4A7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B4A7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fr-FR"/>
      <w14:ligatures w14:val="none"/>
    </w:rPr>
  </w:style>
  <w:style w:type="paragraph" w:customStyle="1" w:styleId="p2">
    <w:name w:val="p2"/>
    <w:basedOn w:val="Normal"/>
    <w:rsid w:val="008B4A7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  <w:style w:type="character" w:customStyle="1" w:styleId="s1">
    <w:name w:val="s1"/>
    <w:basedOn w:val="Policepardfaut"/>
    <w:rsid w:val="008B4A73"/>
    <w:rPr>
      <w:rFonts w:ascii="Times New Roman" w:hAnsi="Times New Roman" w:cs="Times New Roman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593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GILOIS</dc:creator>
  <cp:keywords/>
  <dc:description/>
  <cp:lastModifiedBy>CLAUDE GILOIS</cp:lastModifiedBy>
  <cp:revision>2</cp:revision>
  <dcterms:created xsi:type="dcterms:W3CDTF">2025-12-03T12:13:00Z</dcterms:created>
  <dcterms:modified xsi:type="dcterms:W3CDTF">2025-12-03T12:25:00Z</dcterms:modified>
</cp:coreProperties>
</file>